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Лекция 3</w:t>
      </w:r>
      <w:r w:rsidRPr="00D41A81">
        <w:rPr>
          <w:sz w:val="28"/>
          <w:szCs w:val="28"/>
        </w:rPr>
        <w:t xml:space="preserve"> Коэффициент усиления.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3.1 Входное сопротивление антенны.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3.2 Мощности, подводимые к антенне и излученные антенной.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3.3 Метод определения электромагнитного поля антенн.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3.4 Симметричный электрический вибратор в свободном пространстве.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3. Коэффициент усиления.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Коэффициент усиления (КУ) показывает во сколько раз должна быть увеличена мощность, подведенная к направленной антенне, при замене ее ненаправленной, не имеющей силовых потерь и идеально согласованной антенной, чтобы </w:t>
      </w:r>
      <w:proofErr w:type="gramStart"/>
      <w:r w:rsidRPr="00D41A81">
        <w:rPr>
          <w:sz w:val="28"/>
          <w:szCs w:val="28"/>
        </w:rPr>
        <w:t>напряженности поля, создаваемые ими в точке приема были</w:t>
      </w:r>
      <w:proofErr w:type="gramEnd"/>
      <w:r w:rsidRPr="00D41A81">
        <w:rPr>
          <w:sz w:val="28"/>
          <w:szCs w:val="28"/>
        </w:rPr>
        <w:t xml:space="preserve"> одинаковы.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037330" cy="1167765"/>
            <wp:effectExtent l="19050" t="0" r="1270" b="0"/>
            <wp:docPr id="1" name="Рисунок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7330" cy="1167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167765" cy="1055370"/>
            <wp:effectExtent l="19050" t="0" r="0" b="0"/>
            <wp:docPr id="2" name="Рисунок 2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765" cy="1055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32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5pt;height:16.6pt" fillcolor="window">
            <v:imagedata r:id="rId6" o:title=""/>
          </v:shape>
        </w:object>
      </w:r>
      <w:r w:rsidRPr="00D41A81">
        <w:rPr>
          <w:sz w:val="28"/>
          <w:szCs w:val="28"/>
        </w:rPr>
        <w:t xml:space="preserve"> –  излученная мощность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34"/>
          <w:sz w:val="28"/>
          <w:szCs w:val="28"/>
        </w:rPr>
        <w:object w:dxaOrig="1300" w:dyaOrig="760">
          <v:shape id="_x0000_i1026" type="#_x0000_t75" style="width:65.35pt;height:37.65pt" fillcolor="window">
            <v:imagedata r:id="rId7" o:title=""/>
          </v:shape>
        </w:objec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58"/>
          <w:sz w:val="28"/>
          <w:szCs w:val="28"/>
        </w:rPr>
        <w:object w:dxaOrig="3460" w:dyaOrig="999">
          <v:shape id="_x0000_i1027" type="#_x0000_t75" style="width:172.8pt;height:49.85pt" fillcolor="window">
            <v:imagedata r:id="rId8" o:title=""/>
          </v:shape>
        </w:objec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В направленной антенне существуют потери: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а) на отражение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б) тепловые (омические)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а) + б) = характеризуют КПД = </w:t>
      </w:r>
      <w:r w:rsidRPr="00D41A81">
        <w:rPr>
          <w:i/>
          <w:sz w:val="28"/>
          <w:szCs w:val="28"/>
        </w:rPr>
        <w:sym w:font="Symbol" w:char="F068"/>
      </w:r>
      <w:r w:rsidRPr="00D41A81">
        <w:rPr>
          <w:sz w:val="28"/>
          <w:szCs w:val="28"/>
        </w:rPr>
        <w:t xml:space="preserve"> 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1480" w:dyaOrig="320">
          <v:shape id="_x0000_i1028" type="#_x0000_t75" style="width:74.2pt;height:15.5pt" fillcolor="window">
            <v:imagedata r:id="rId9" o:title=""/>
          </v:shape>
        </w:objec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2620" w:dyaOrig="600">
          <v:shape id="_x0000_i1029" type="#_x0000_t75" style="width:130.7pt;height:29.9pt" fillcolor="window">
            <v:imagedata r:id="rId10" o:title=""/>
          </v:shape>
        </w:objec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16"/>
          <w:sz w:val="28"/>
          <w:szCs w:val="28"/>
        </w:rPr>
        <w:object w:dxaOrig="420" w:dyaOrig="480">
          <v:shape id="_x0000_i1030" type="#_x0000_t75" style="width:21.05pt;height:24.35pt" fillcolor="window">
            <v:imagedata r:id="rId11" o:title=""/>
          </v:shape>
        </w:object>
      </w:r>
      <w:r w:rsidRPr="00D41A81">
        <w:rPr>
          <w:sz w:val="28"/>
          <w:szCs w:val="28"/>
        </w:rPr>
        <w:t xml:space="preserve"> –  модуль коэффициента отражения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38"/>
          <w:sz w:val="28"/>
          <w:szCs w:val="28"/>
        </w:rPr>
        <w:object w:dxaOrig="1260" w:dyaOrig="880">
          <v:shape id="_x0000_i1031" type="#_x0000_t75" style="width:63.15pt;height:44.3pt" fillcolor="window">
            <v:imagedata r:id="rId12" o:title=""/>
          </v:shape>
        </w:objec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Как правило, КУ – измеряется.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Таким </w:t>
      </w:r>
      <w:proofErr w:type="gramStart"/>
      <w:r w:rsidRPr="00D41A81">
        <w:rPr>
          <w:sz w:val="28"/>
          <w:szCs w:val="28"/>
        </w:rPr>
        <w:t>образом</w:t>
      </w:r>
      <w:proofErr w:type="gramEnd"/>
      <w:r w:rsidRPr="00D41A81">
        <w:rPr>
          <w:sz w:val="28"/>
          <w:szCs w:val="28"/>
        </w:rPr>
        <w:t xml:space="preserve"> КНД характеризуется излучаемой мощностью, а КУ характеризуется подводимой мощностью.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3.1 Входное сопротивление антенны.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Входное сопротивление антенны. Оно определяется отношением напряжения ВЧ  </w:t>
      </w:r>
      <w:r w:rsidRPr="00D41A81">
        <w:rPr>
          <w:i/>
          <w:sz w:val="28"/>
          <w:szCs w:val="28"/>
          <w:lang w:val="en-US"/>
        </w:rPr>
        <w:t>U</w:t>
      </w:r>
      <w:r w:rsidRPr="00D41A81">
        <w:rPr>
          <w:i/>
          <w:sz w:val="28"/>
          <w:szCs w:val="28"/>
          <w:vertAlign w:val="subscript"/>
          <w:lang w:val="en-US"/>
        </w:rPr>
        <w:t>A</w:t>
      </w:r>
      <w:r w:rsidRPr="00D41A81">
        <w:rPr>
          <w:i/>
          <w:sz w:val="28"/>
          <w:szCs w:val="28"/>
        </w:rPr>
        <w:t xml:space="preserve"> </w:t>
      </w:r>
      <w:r w:rsidRPr="00D41A81">
        <w:rPr>
          <w:sz w:val="28"/>
          <w:szCs w:val="28"/>
        </w:rPr>
        <w:t xml:space="preserve">на зажимах антенны к току питания  </w:t>
      </w:r>
      <w:r w:rsidRPr="00D41A81">
        <w:rPr>
          <w:i/>
          <w:sz w:val="28"/>
          <w:szCs w:val="28"/>
          <w:lang w:val="en-US"/>
        </w:rPr>
        <w:t>I</w:t>
      </w:r>
      <w:r w:rsidRPr="00D41A81">
        <w:rPr>
          <w:i/>
          <w:sz w:val="28"/>
          <w:szCs w:val="28"/>
          <w:vertAlign w:val="subscript"/>
          <w:lang w:val="en-US"/>
        </w:rPr>
        <w:t>A</w:t>
      </w:r>
      <w:r w:rsidRPr="00D41A81">
        <w:rPr>
          <w:sz w:val="28"/>
          <w:szCs w:val="28"/>
        </w:rPr>
        <w:t xml:space="preserve">  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167765" cy="1223645"/>
            <wp:effectExtent l="19050" t="0" r="0" b="0"/>
            <wp:docPr id="10" name="Рисунок 10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765" cy="1223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Рис. 13.  Направление токов  в симметричном вибраторе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3019" w:dyaOrig="680">
          <v:shape id="_x0000_i1032" type="#_x0000_t75" style="width:150.65pt;height:34.35pt" fillcolor="window">
            <v:imagedata r:id="rId14" o:title=""/>
          </v:shape>
        </w:objec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то есть имеет активную и реактивную составляющие, то есть является комплексным сопротивлением.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Для определения </w:t>
      </w:r>
      <w:r w:rsidRPr="00D41A81">
        <w:rPr>
          <w:position w:val="-10"/>
          <w:sz w:val="28"/>
          <w:szCs w:val="28"/>
        </w:rPr>
        <w:object w:dxaOrig="440" w:dyaOrig="360">
          <v:shape id="_x0000_i1033" type="#_x0000_t75" style="width:22.15pt;height:17.7pt" fillcolor="window">
            <v:imagedata r:id="rId15" o:title=""/>
          </v:shape>
        </w:object>
      </w:r>
      <w:r w:rsidRPr="00D41A81">
        <w:rPr>
          <w:sz w:val="28"/>
          <w:szCs w:val="28"/>
        </w:rPr>
        <w:t xml:space="preserve"> необходимы специальные приборы, которые включаются на вход антенны.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</w:t>
      </w:r>
      <w:proofErr w:type="spellStart"/>
      <w:r w:rsidRPr="00D41A81">
        <w:rPr>
          <w:sz w:val="28"/>
          <w:szCs w:val="28"/>
        </w:rPr>
        <w:t>апертурных</w:t>
      </w:r>
      <w:proofErr w:type="spellEnd"/>
      <w:r w:rsidRPr="00D41A81">
        <w:rPr>
          <w:sz w:val="28"/>
          <w:szCs w:val="28"/>
        </w:rPr>
        <w:t xml:space="preserve"> </w:t>
      </w:r>
      <w:proofErr w:type="spellStart"/>
      <w:r w:rsidRPr="00D41A81">
        <w:rPr>
          <w:sz w:val="28"/>
          <w:szCs w:val="28"/>
        </w:rPr>
        <w:t>СВЧ-антенн</w:t>
      </w:r>
      <w:proofErr w:type="spellEnd"/>
      <w:r w:rsidRPr="00D41A81">
        <w:rPr>
          <w:sz w:val="28"/>
          <w:szCs w:val="28"/>
        </w:rPr>
        <w:t xml:space="preserve"> непосредственно измерить </w:t>
      </w:r>
      <w:r w:rsidRPr="00D41A81">
        <w:rPr>
          <w:i/>
          <w:sz w:val="28"/>
          <w:szCs w:val="28"/>
          <w:lang w:val="en-US"/>
        </w:rPr>
        <w:t>U</w:t>
      </w:r>
      <w:r w:rsidRPr="00D41A81">
        <w:rPr>
          <w:i/>
          <w:sz w:val="28"/>
          <w:szCs w:val="28"/>
          <w:vertAlign w:val="subscript"/>
          <w:lang w:val="en-US"/>
        </w:rPr>
        <w:t>A</w:t>
      </w:r>
      <w:r w:rsidRPr="00D41A81">
        <w:rPr>
          <w:i/>
          <w:sz w:val="28"/>
          <w:szCs w:val="28"/>
        </w:rPr>
        <w:t xml:space="preserve"> </w:t>
      </w:r>
      <w:r w:rsidRPr="00D41A81">
        <w:rPr>
          <w:sz w:val="28"/>
          <w:szCs w:val="28"/>
        </w:rPr>
        <w:t xml:space="preserve">и </w:t>
      </w:r>
      <w:r w:rsidRPr="00D41A81">
        <w:rPr>
          <w:i/>
          <w:sz w:val="28"/>
          <w:szCs w:val="28"/>
          <w:lang w:val="en-US"/>
        </w:rPr>
        <w:t>I</w:t>
      </w:r>
      <w:r w:rsidRPr="00D41A81">
        <w:rPr>
          <w:i/>
          <w:sz w:val="28"/>
          <w:szCs w:val="28"/>
          <w:vertAlign w:val="subscript"/>
          <w:lang w:val="en-US"/>
        </w:rPr>
        <w:t>A</w:t>
      </w:r>
      <w:r w:rsidRPr="00D41A81">
        <w:rPr>
          <w:sz w:val="28"/>
          <w:szCs w:val="28"/>
        </w:rPr>
        <w:t xml:space="preserve"> невозможно. Например, рупорные антенны. В данном случае измеряют коэффициент отражения </w:t>
      </w:r>
      <w:r w:rsidRPr="00D41A81">
        <w:rPr>
          <w:position w:val="-4"/>
          <w:sz w:val="28"/>
          <w:szCs w:val="28"/>
        </w:rPr>
        <w:object w:dxaOrig="260" w:dyaOrig="300">
          <v:shape id="_x0000_i1034" type="#_x0000_t75" style="width:13.3pt;height:15.5pt" fillcolor="window">
            <v:imagedata r:id="rId16" o:title=""/>
          </v:shape>
        </w:object>
      </w:r>
      <w:r w:rsidRPr="00D41A81">
        <w:rPr>
          <w:sz w:val="28"/>
          <w:szCs w:val="28"/>
        </w:rPr>
        <w:t>, который определяется формулой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1440" w:dyaOrig="720">
          <v:shape id="_x0000_i1035" type="#_x0000_t75" style="width:1in;height:36.55pt" fillcolor="window">
            <v:imagedata r:id="rId17" o:title=""/>
          </v:shape>
        </w:object>
      </w:r>
      <w:r w:rsidRPr="00D41A81">
        <w:rPr>
          <w:sz w:val="28"/>
          <w:szCs w:val="28"/>
        </w:rPr>
        <w:t xml:space="preserve">                           </w:t>
      </w:r>
      <w:r w:rsidRPr="00D41A81">
        <w:rPr>
          <w:position w:val="-62"/>
          <w:sz w:val="28"/>
          <w:szCs w:val="28"/>
        </w:rPr>
        <w:object w:dxaOrig="1280" w:dyaOrig="1359">
          <v:shape id="_x0000_i1036" type="#_x0000_t75" style="width:64.25pt;height:67.55pt" fillcolor="window">
            <v:imagedata r:id="rId18" o:title=""/>
          </v:shape>
        </w:objec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440" w:dyaOrig="360">
          <v:shape id="_x0000_i1037" type="#_x0000_t75" style="width:22.15pt;height:17.7pt" fillcolor="window">
            <v:imagedata r:id="rId15" o:title=""/>
          </v:shape>
        </w:object>
      </w:r>
      <w:r w:rsidRPr="00D41A81">
        <w:rPr>
          <w:sz w:val="28"/>
          <w:szCs w:val="28"/>
        </w:rPr>
        <w:t xml:space="preserve">  –  входное сопротивление антенны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300" w:dyaOrig="360">
          <v:shape id="_x0000_i1038" type="#_x0000_t75" style="width:15.5pt;height:17.7pt" fillcolor="window">
            <v:imagedata r:id="rId19" o:title=""/>
          </v:shape>
        </w:object>
      </w:r>
      <w:r w:rsidRPr="00D41A81">
        <w:rPr>
          <w:sz w:val="28"/>
          <w:szCs w:val="28"/>
        </w:rPr>
        <w:t xml:space="preserve">   –  волновое сопротивление фидера (волновода)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1900" w:dyaOrig="680">
          <v:shape id="_x0000_i1039" type="#_x0000_t75" style="width:95.25pt;height:34.35pt" fillcolor="window">
            <v:imagedata r:id="rId20" o:title=""/>
          </v:shape>
        </w:object>
      </w:r>
      <w:r w:rsidRPr="00D41A81">
        <w:rPr>
          <w:sz w:val="28"/>
          <w:szCs w:val="28"/>
        </w:rPr>
        <w:t xml:space="preserve">             </w:t>
      </w:r>
      <w:r w:rsidRPr="00D41A81">
        <w:rPr>
          <w:position w:val="-30"/>
          <w:sz w:val="28"/>
          <w:szCs w:val="28"/>
        </w:rPr>
        <w:object w:dxaOrig="1280" w:dyaOrig="680">
          <v:shape id="_x0000_i1040" type="#_x0000_t75" style="width:64.25pt;height:34.35pt" fillcolor="window">
            <v:imagedata r:id="rId21" o:title=""/>
          </v:shape>
        </w:objec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1280" w:dyaOrig="720">
          <v:shape id="_x0000_i1041" type="#_x0000_t75" style="width:64.25pt;height:36.55pt" fillcolor="window">
            <v:imagedata r:id="rId22" o:title=""/>
          </v:shape>
        </w:object>
      </w:r>
      <w:r w:rsidRPr="00D41A81">
        <w:rPr>
          <w:sz w:val="28"/>
          <w:szCs w:val="28"/>
        </w:rPr>
        <w:t xml:space="preserve">  –  нормированное сопротивление антенны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Это соотношение справедливо для основного типа волн.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3.2 Мощности, подводимые к антенне и излученные антенной.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167765" cy="1055370"/>
            <wp:effectExtent l="19050" t="0" r="0" b="0"/>
            <wp:docPr id="21" name="Рисунок 21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1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765" cy="1055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Мощность </w:t>
      </w:r>
      <w:r w:rsidRPr="00D41A81">
        <w:rPr>
          <w:position w:val="-12"/>
          <w:sz w:val="28"/>
          <w:szCs w:val="28"/>
        </w:rPr>
        <w:object w:dxaOrig="620" w:dyaOrig="360">
          <v:shape id="_x0000_i1042" type="#_x0000_t75" style="width:31pt;height:17.7pt" fillcolor="window">
            <v:imagedata r:id="rId23" o:title=""/>
          </v:shape>
        </w:object>
      </w:r>
      <w:r w:rsidRPr="00D41A81">
        <w:rPr>
          <w:sz w:val="28"/>
          <w:szCs w:val="28"/>
        </w:rPr>
        <w:t xml:space="preserve"> делится на две части: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излучаемая 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потери на активном сопротивлении (в земле, в окружающих металлических проводниках, оттяжках, строениях и т.д.)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320" w:dyaOrig="340">
          <v:shape id="_x0000_i1043" type="#_x0000_t75" style="width:15.5pt;height:16.6pt" fillcolor="window">
            <v:imagedata r:id="rId24" o:title=""/>
          </v:shape>
        </w:object>
      </w:r>
      <w:r w:rsidRPr="00D41A81">
        <w:rPr>
          <w:sz w:val="28"/>
          <w:szCs w:val="28"/>
        </w:rPr>
        <w:t xml:space="preserve"> –  излученная мощность, как для всякой линейной цепи, пропорциональна квадрату действующего значения тока в антенне.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1040" w:dyaOrig="360">
          <v:shape id="_x0000_i1044" type="#_x0000_t75" style="width:52.05pt;height:17.7pt" fillcolor="window">
            <v:imagedata r:id="rId25" o:title=""/>
          </v:shape>
        </w:object>
      </w:r>
      <w:r w:rsidRPr="00D41A81">
        <w:rPr>
          <w:sz w:val="28"/>
          <w:szCs w:val="28"/>
        </w:rPr>
        <w:t xml:space="preserve">             </w:t>
      </w:r>
      <w:r w:rsidRPr="00D41A81">
        <w:rPr>
          <w:position w:val="-30"/>
          <w:sz w:val="28"/>
          <w:szCs w:val="28"/>
        </w:rPr>
        <w:object w:dxaOrig="900" w:dyaOrig="680">
          <v:shape id="_x0000_i1045" type="#_x0000_t75" style="width:45.4pt;height:34.35pt" fillcolor="window">
            <v:imagedata r:id="rId26" o:title=""/>
          </v:shape>
        </w:objec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320" w:dyaOrig="340">
          <v:shape id="_x0000_i1046" type="#_x0000_t75" style="width:15.5pt;height:16.6pt" fillcolor="window">
            <v:imagedata r:id="rId27" o:title=""/>
          </v:shape>
        </w:object>
      </w:r>
      <w:r w:rsidRPr="00D41A81">
        <w:rPr>
          <w:sz w:val="28"/>
          <w:szCs w:val="28"/>
        </w:rPr>
        <w:t xml:space="preserve">  –  коэффициент пропорциональности.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Сопротивление излучения можно определить как коэффициент, связывающий </w:t>
      </w:r>
      <w:r w:rsidRPr="00D41A81">
        <w:rPr>
          <w:position w:val="-10"/>
          <w:sz w:val="28"/>
          <w:szCs w:val="28"/>
        </w:rPr>
        <w:object w:dxaOrig="279" w:dyaOrig="340">
          <v:shape id="_x0000_i1047" type="#_x0000_t75" style="width:14.4pt;height:16.6pt" fillcolor="window">
            <v:imagedata r:id="rId28" o:title=""/>
          </v:shape>
        </w:object>
      </w:r>
      <w:r w:rsidRPr="00D41A81">
        <w:rPr>
          <w:sz w:val="28"/>
          <w:szCs w:val="28"/>
        </w:rPr>
        <w:t xml:space="preserve"> антенны </w:t>
      </w:r>
      <w:proofErr w:type="gramStart"/>
      <w:r w:rsidRPr="00D41A81">
        <w:rPr>
          <w:sz w:val="28"/>
          <w:szCs w:val="28"/>
        </w:rPr>
        <w:t>с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4"/>
          <w:sz w:val="28"/>
          <w:szCs w:val="28"/>
        </w:rPr>
        <w:object w:dxaOrig="279" w:dyaOrig="400">
          <v:shape id="_x0000_i1048" type="#_x0000_t75" style="width:14.4pt;height:19.95pt" fillcolor="window">
            <v:imagedata r:id="rId29" o:title=""/>
          </v:shape>
        </w:object>
      </w:r>
      <w:r w:rsidRPr="00D41A81">
        <w:rPr>
          <w:sz w:val="28"/>
          <w:szCs w:val="28"/>
        </w:rPr>
        <w:t xml:space="preserve">   </w:t>
      </w:r>
      <w:proofErr w:type="gramStart"/>
      <w:r w:rsidRPr="00D41A81">
        <w:rPr>
          <w:sz w:val="28"/>
          <w:szCs w:val="28"/>
          <w:u w:val="single"/>
        </w:rPr>
        <w:t>в</w:t>
      </w:r>
      <w:proofErr w:type="gramEnd"/>
      <w:r w:rsidRPr="00D41A81">
        <w:rPr>
          <w:sz w:val="28"/>
          <w:szCs w:val="28"/>
          <w:u w:val="single"/>
        </w:rPr>
        <w:t xml:space="preserve"> данной точке антенны</w:t>
      </w:r>
      <w:r w:rsidRPr="00D41A81">
        <w:rPr>
          <w:sz w:val="28"/>
          <w:szCs w:val="28"/>
        </w:rPr>
        <w:t>.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165475" cy="1069340"/>
            <wp:effectExtent l="19050" t="0" r="0" b="0"/>
            <wp:docPr id="29" name="Рисунок 29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14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5475" cy="1069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020" w:dyaOrig="360">
          <v:shape id="_x0000_i1049" type="#_x0000_t75" style="width:50.95pt;height:17.7pt" fillcolor="window">
            <v:imagedata r:id="rId31" o:title=""/>
          </v:shape>
        </w:object>
      </w:r>
      <w:r w:rsidRPr="00D41A81">
        <w:rPr>
          <w:sz w:val="28"/>
          <w:szCs w:val="28"/>
        </w:rPr>
        <w:t xml:space="preserve"> и т.д.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760" w:dyaOrig="340">
          <v:shape id="_x0000_i1050" type="#_x0000_t75" style="width:37.65pt;height:16.6pt" fillcolor="window">
            <v:imagedata r:id="rId32" o:title=""/>
          </v:shape>
        </w:object>
      </w:r>
      <w:r w:rsidRPr="00D41A81">
        <w:rPr>
          <w:sz w:val="28"/>
          <w:szCs w:val="28"/>
        </w:rPr>
        <w:t>(форма антенны, геометрические размеры</w:t>
      </w:r>
      <w:proofErr w:type="gramStart"/>
      <w:r w:rsidRPr="00D41A81">
        <w:rPr>
          <w:sz w:val="28"/>
          <w:szCs w:val="28"/>
        </w:rPr>
        <w:t xml:space="preserve">, </w:t>
      </w:r>
      <w:r w:rsidRPr="00D41A81">
        <w:rPr>
          <w:i/>
          <w:sz w:val="28"/>
          <w:szCs w:val="28"/>
        </w:rPr>
        <w:sym w:font="Symbol" w:char="F06C"/>
      </w:r>
      <w:r w:rsidRPr="00D41A81">
        <w:rPr>
          <w:sz w:val="28"/>
          <w:szCs w:val="28"/>
        </w:rPr>
        <w:t>)</w:t>
      </w:r>
      <w:proofErr w:type="gramEnd"/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300" w:dyaOrig="340">
          <v:shape id="_x0000_i1051" type="#_x0000_t75" style="width:15.5pt;height:16.6pt" fillcolor="window">
            <v:imagedata r:id="rId33" o:title=""/>
          </v:shape>
        </w:object>
      </w:r>
      <w:r w:rsidRPr="00D41A81">
        <w:rPr>
          <w:sz w:val="28"/>
          <w:szCs w:val="28"/>
        </w:rPr>
        <w:t xml:space="preserve">  –  полезная мощность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Мощность потерь:</w:t>
      </w:r>
    </w:p>
    <w:p w:rsidR="00E1773D" w:rsidRPr="00D41A81" w:rsidRDefault="00E1773D" w:rsidP="00E1773D">
      <w:pPr>
        <w:rPr>
          <w:sz w:val="28"/>
          <w:szCs w:val="28"/>
          <w:lang w:val="en-US"/>
        </w:rPr>
      </w:pPr>
      <w:r w:rsidRPr="00D41A81">
        <w:rPr>
          <w:position w:val="-14"/>
          <w:sz w:val="28"/>
          <w:szCs w:val="28"/>
        </w:rPr>
        <w:object w:dxaOrig="1120" w:dyaOrig="400">
          <v:shape id="_x0000_i1052" type="#_x0000_t75" style="width:56.5pt;height:19.95pt" fillcolor="window">
            <v:imagedata r:id="rId34" o:title=""/>
          </v:shape>
        </w:objec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360" w:dyaOrig="340">
          <v:shape id="_x0000_i1053" type="#_x0000_t75" style="width:17.7pt;height:16.6pt" fillcolor="window">
            <v:imagedata r:id="rId35" o:title=""/>
          </v:shape>
        </w:object>
      </w:r>
      <w:r w:rsidRPr="00D41A81">
        <w:rPr>
          <w:sz w:val="28"/>
          <w:szCs w:val="28"/>
        </w:rPr>
        <w:t xml:space="preserve">   –  эквивалентное сопротивление </w:t>
      </w:r>
      <w:proofErr w:type="gramStart"/>
      <w:r w:rsidRPr="00D41A81">
        <w:rPr>
          <w:sz w:val="28"/>
          <w:szCs w:val="28"/>
        </w:rPr>
        <w:t>потерь</w:t>
      </w:r>
      <w:proofErr w:type="gramEnd"/>
      <w:r w:rsidRPr="00D41A81">
        <w:rPr>
          <w:sz w:val="28"/>
          <w:szCs w:val="28"/>
        </w:rPr>
        <w:t xml:space="preserve"> отнесенное к току </w:t>
      </w:r>
      <w:r w:rsidRPr="00D41A81">
        <w:rPr>
          <w:i/>
          <w:sz w:val="28"/>
          <w:szCs w:val="28"/>
          <w:lang w:val="en-US"/>
        </w:rPr>
        <w:t>I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1380" w:dyaOrig="340">
          <v:shape id="_x0000_i1054" type="#_x0000_t75" style="width:68.7pt;height:16.6pt" fillcolor="window">
            <v:imagedata r:id="rId36" o:title=""/>
          </v:shape>
        </w:object>
      </w:r>
      <w:r w:rsidRPr="00D41A81">
        <w:rPr>
          <w:sz w:val="28"/>
          <w:szCs w:val="28"/>
        </w:rPr>
        <w:t xml:space="preserve">  –  полная мощность (подводимая к антенне)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14"/>
          <w:sz w:val="28"/>
          <w:szCs w:val="28"/>
        </w:rPr>
        <w:object w:dxaOrig="2520" w:dyaOrig="400">
          <v:shape id="_x0000_i1055" type="#_x0000_t75" style="width:126.3pt;height:19.95pt" fillcolor="window">
            <v:imagedata r:id="rId37" o:title=""/>
          </v:shape>
        </w:object>
      </w:r>
      <w:r w:rsidRPr="00D41A81">
        <w:rPr>
          <w:sz w:val="28"/>
          <w:szCs w:val="28"/>
        </w:rPr>
        <w:t>,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10"/>
          <w:sz w:val="28"/>
          <w:szCs w:val="28"/>
        </w:rPr>
        <w:object w:dxaOrig="1579" w:dyaOrig="340">
          <v:shape id="_x0000_i1056" type="#_x0000_t75" style="width:78.65pt;height:16.6pt" fillcolor="window">
            <v:imagedata r:id="rId38" o:title=""/>
          </v:shape>
        </w:object>
      </w:r>
      <w:r w:rsidRPr="00D41A81">
        <w:rPr>
          <w:sz w:val="28"/>
          <w:szCs w:val="28"/>
        </w:rPr>
        <w:t xml:space="preserve">  –  активное сопротивление антенны в точке </w:t>
      </w:r>
      <w:proofErr w:type="spellStart"/>
      <w:r w:rsidRPr="00D41A81">
        <w:rPr>
          <w:sz w:val="28"/>
          <w:szCs w:val="28"/>
        </w:rPr>
        <w:t>запитки</w:t>
      </w:r>
      <w:proofErr w:type="spellEnd"/>
      <w:r w:rsidRPr="00D41A81">
        <w:rPr>
          <w:sz w:val="28"/>
          <w:szCs w:val="28"/>
        </w:rPr>
        <w:t xml:space="preserve"> 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 оценки эффективности работы антенны вводят понятие КПД антенны </w:t>
      </w:r>
      <w:r w:rsidRPr="00D41A81">
        <w:rPr>
          <w:position w:val="-62"/>
          <w:sz w:val="28"/>
          <w:szCs w:val="28"/>
        </w:rPr>
        <w:object w:dxaOrig="2860" w:dyaOrig="999">
          <v:shape id="_x0000_i1057" type="#_x0000_t75" style="width:142.9pt;height:49.85pt" fillcolor="window">
            <v:imagedata r:id="rId39" o:title=""/>
          </v:shape>
        </w:object>
      </w:r>
      <w:r w:rsidRPr="00D41A81">
        <w:rPr>
          <w:sz w:val="28"/>
          <w:szCs w:val="28"/>
        </w:rPr>
        <w:t xml:space="preserve">,  для увеличения </w:t>
      </w:r>
      <w:r w:rsidRPr="00D41A81">
        <w:rPr>
          <w:position w:val="-10"/>
          <w:sz w:val="28"/>
          <w:szCs w:val="28"/>
        </w:rPr>
        <w:object w:dxaOrig="200" w:dyaOrig="260">
          <v:shape id="_x0000_i1058" type="#_x0000_t75" style="width:9.95pt;height:13.3pt" fillcolor="window">
            <v:imagedata r:id="rId40" o:title=""/>
          </v:shape>
        </w:object>
      </w:r>
      <w:r w:rsidRPr="00D41A81">
        <w:rPr>
          <w:sz w:val="28"/>
          <w:szCs w:val="28"/>
        </w:rPr>
        <w:t xml:space="preserve"> необходимо уменьшение </w:t>
      </w:r>
      <w:r w:rsidRPr="00D41A81">
        <w:rPr>
          <w:position w:val="-10"/>
          <w:sz w:val="28"/>
          <w:szCs w:val="28"/>
        </w:rPr>
        <w:object w:dxaOrig="360" w:dyaOrig="340">
          <v:shape id="_x0000_i1059" type="#_x0000_t75" style="width:17.7pt;height:16.6pt" fillcolor="window">
            <v:imagedata r:id="rId41" o:title=""/>
          </v:shape>
        </w:object>
      </w:r>
      <w:r w:rsidRPr="00D41A81">
        <w:rPr>
          <w:sz w:val="28"/>
          <w:szCs w:val="28"/>
        </w:rPr>
        <w:t>.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3.3 Метод определения электромагнитного поля антенн.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Теория антенн позволяет определить основные </w:t>
      </w:r>
      <w:proofErr w:type="gramStart"/>
      <w:r w:rsidRPr="00D41A81">
        <w:rPr>
          <w:sz w:val="28"/>
          <w:szCs w:val="28"/>
        </w:rPr>
        <w:t>характеристики</w:t>
      </w:r>
      <w:proofErr w:type="gramEnd"/>
      <w:r w:rsidRPr="00D41A81">
        <w:rPr>
          <w:sz w:val="28"/>
          <w:szCs w:val="28"/>
        </w:rPr>
        <w:t xml:space="preserve"> такие как ДН, </w:t>
      </w:r>
      <w:r w:rsidRPr="00D41A81">
        <w:rPr>
          <w:position w:val="-10"/>
          <w:sz w:val="28"/>
          <w:szCs w:val="28"/>
        </w:rPr>
        <w:object w:dxaOrig="320" w:dyaOrig="340">
          <v:shape id="_x0000_i1060" type="#_x0000_t75" style="width:15.5pt;height:16.6pt" fillcolor="window">
            <v:imagedata r:id="rId42" o:title=""/>
          </v:shape>
        </w:object>
      </w:r>
      <w:r w:rsidRPr="00D41A81">
        <w:rPr>
          <w:sz w:val="28"/>
          <w:szCs w:val="28"/>
        </w:rPr>
        <w:t xml:space="preserve">, </w:t>
      </w:r>
      <w:r w:rsidRPr="00D41A81">
        <w:rPr>
          <w:position w:val="-10"/>
          <w:sz w:val="28"/>
          <w:szCs w:val="28"/>
        </w:rPr>
        <w:object w:dxaOrig="440" w:dyaOrig="360">
          <v:shape id="_x0000_i1061" type="#_x0000_t75" style="width:22.15pt;height:17.7pt" fillcolor="window">
            <v:imagedata r:id="rId43" o:title=""/>
          </v:shape>
        </w:object>
      </w:r>
      <w:r w:rsidRPr="00D41A81">
        <w:rPr>
          <w:sz w:val="28"/>
          <w:szCs w:val="28"/>
        </w:rPr>
        <w:t xml:space="preserve"> и их зависимость от частоты.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Параметры антенн можно найти непосредственно из уравнений Максвелла, связывающих в дифференциальной форме значения электромагнитного поля с плотностью тока и заряда в рассматриваемой точки пространства. Найти точные решения весьма затруднительно, поэтому пользуются приближенными методами решения.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Существует множество методов. Мы будем рассматривать различные методы для  </w:t>
      </w:r>
      <w:r w:rsidRPr="00D41A81">
        <w:rPr>
          <w:sz w:val="28"/>
          <w:szCs w:val="28"/>
          <w:u w:val="single"/>
        </w:rPr>
        <w:t>линейных</w:t>
      </w:r>
      <w:r w:rsidRPr="00D41A81">
        <w:rPr>
          <w:sz w:val="28"/>
          <w:szCs w:val="28"/>
        </w:rPr>
        <w:t xml:space="preserve"> и </w:t>
      </w:r>
      <w:proofErr w:type="spellStart"/>
      <w:r w:rsidRPr="00D41A81">
        <w:rPr>
          <w:sz w:val="28"/>
          <w:szCs w:val="28"/>
          <w:u w:val="single"/>
        </w:rPr>
        <w:t>апертурных</w:t>
      </w:r>
      <w:proofErr w:type="spellEnd"/>
      <w:r w:rsidRPr="00D41A81">
        <w:rPr>
          <w:sz w:val="28"/>
          <w:szCs w:val="28"/>
        </w:rPr>
        <w:t xml:space="preserve"> антенн.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Для расчета линейных (проволочных) антенн используется теория элементарного электрического диполя. Кроме того, должно быть известно распределение тока вдоль проводов антенны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Провода антенны мысленно разбиваются  на элементарные участки. Каждый участок рассматривается как элементарный электрический диполь. Поле антенны определяется как  сумма полей, создаваемых отдельными элементами с учетом их поляризации, амплитуд и фаз. Суммирование полей сводится к интегрированию по источникам.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</w:p>
    <w:p w:rsidR="00E1773D" w:rsidRPr="00D41A81" w:rsidRDefault="00E1773D" w:rsidP="00E1773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756025" cy="788035"/>
            <wp:effectExtent l="19050" t="0" r="0" b="0"/>
            <wp:docPr id="43" name="Рисунок 43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15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6025" cy="78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Рис. 14.  Принцип определения поля проволочной антенны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Таким образом, поле излучения проволочной антенны определяется как суперпозиция полей, создаваемых элементарными излучателями с известными токами.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расчета полей </w:t>
      </w:r>
      <w:proofErr w:type="spellStart"/>
      <w:r w:rsidRPr="00D41A81">
        <w:rPr>
          <w:sz w:val="28"/>
          <w:szCs w:val="28"/>
        </w:rPr>
        <w:t>апертурных</w:t>
      </w:r>
      <w:proofErr w:type="spellEnd"/>
      <w:r w:rsidRPr="00D41A81">
        <w:rPr>
          <w:sz w:val="28"/>
          <w:szCs w:val="28"/>
        </w:rPr>
        <w:t xml:space="preserve"> антенн используется так называемый </w:t>
      </w:r>
      <w:proofErr w:type="spellStart"/>
      <w:r w:rsidRPr="00D41A81">
        <w:rPr>
          <w:sz w:val="28"/>
          <w:szCs w:val="28"/>
        </w:rPr>
        <w:t>апертуный</w:t>
      </w:r>
      <w:proofErr w:type="spellEnd"/>
      <w:r w:rsidRPr="00D41A81">
        <w:rPr>
          <w:sz w:val="28"/>
          <w:szCs w:val="28"/>
        </w:rPr>
        <w:t xml:space="preserve"> метод.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Сущность его состоит в том, что каждый элемент площади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антенны рассматривается как </w:t>
      </w:r>
      <w:proofErr w:type="spellStart"/>
      <w:r w:rsidRPr="00D41A81">
        <w:rPr>
          <w:sz w:val="28"/>
          <w:szCs w:val="28"/>
        </w:rPr>
        <w:t>гюгенсовый</w:t>
      </w:r>
      <w:proofErr w:type="spellEnd"/>
      <w:r w:rsidRPr="00D41A81">
        <w:rPr>
          <w:sz w:val="28"/>
          <w:szCs w:val="28"/>
        </w:rPr>
        <w:t xml:space="preserve"> источник (элементарная площадка </w:t>
      </w:r>
      <w:r w:rsidRPr="00D41A81">
        <w:rPr>
          <w:sz w:val="28"/>
          <w:szCs w:val="28"/>
        </w:rPr>
        <w:sym w:font="Symbol" w:char="F082"/>
      </w:r>
      <w:r w:rsidRPr="00D41A81">
        <w:rPr>
          <w:sz w:val="28"/>
          <w:szCs w:val="28"/>
        </w:rPr>
        <w:t xml:space="preserve">) и поле всей антенны в дальней зоне определяется суммированием (интегрированием) всех элементарных полей с учетом их </w:t>
      </w:r>
      <w:r w:rsidRPr="00D41A81">
        <w:rPr>
          <w:sz w:val="28"/>
          <w:szCs w:val="28"/>
          <w:u w:val="single"/>
        </w:rPr>
        <w:t>поляризации, амплитуд и фаз</w:t>
      </w:r>
      <w:r w:rsidRPr="00D41A81">
        <w:rPr>
          <w:sz w:val="28"/>
          <w:szCs w:val="28"/>
        </w:rPr>
        <w:t xml:space="preserve">. 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3.4 Симметричный электрический вибратор в свободном пространстве.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Приближенные законы распределения тока и заряда по вибратору.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630805" cy="1055370"/>
            <wp:effectExtent l="19050" t="0" r="0" b="0"/>
            <wp:docPr id="44" name="Рисунок 44" descr="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16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805" cy="1055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Рис. 15. Симметричный вибратор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Симметричный вибрато – два одинаковых плеча по размерам и форме, между которыми включается генератор.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До разработки строгой теории симметричного вибратора (конец 30-х начало 40-х годов) при расчете поля вибратора применялся приближенный метод. В его основе лежит предположение о синусоидальном распределении тока по вибратору (закон стоячих волн)  связанное с некоторой внешней аналогией между симметричным вибратором и 2-х проводной линией разомкнутой на конце. 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Переход от двухпроводной линии к вибратору и полагают, что при таком переходе закон распределения тока не нарушается, то есть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920" w:dyaOrig="380">
          <v:shape id="_x0000_i1062" type="#_x0000_t75" style="width:96.35pt;height:18.85pt" fillcolor="window">
            <v:imagedata r:id="rId46" o:title=""/>
          </v:shape>
        </w:object>
      </w:r>
      <w:r w:rsidRPr="00D41A81">
        <w:rPr>
          <w:sz w:val="28"/>
          <w:szCs w:val="28"/>
        </w:rPr>
        <w:t xml:space="preserve">                                                (1)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060" w:dyaOrig="380">
          <v:shape id="_x0000_i1063" type="#_x0000_t75" style="width:53.15pt;height:18.85pt" fillcolor="window">
            <v:imagedata r:id="rId47" o:title=""/>
          </v:shape>
        </w:object>
      </w:r>
      <w:r w:rsidRPr="00D41A81">
        <w:rPr>
          <w:sz w:val="28"/>
          <w:szCs w:val="28"/>
        </w:rPr>
        <w:t xml:space="preserve">  – амплитуда тока в пучности тока вибратора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6"/>
          <w:sz w:val="28"/>
          <w:szCs w:val="28"/>
        </w:rPr>
        <w:object w:dxaOrig="160" w:dyaOrig="279">
          <v:shape id="_x0000_i1064" type="#_x0000_t75" style="width:7.75pt;height:14.4pt" fillcolor="window">
            <v:imagedata r:id="rId48" o:title=""/>
          </v:shape>
        </w:object>
      </w:r>
      <w:r w:rsidRPr="00D41A81">
        <w:rPr>
          <w:sz w:val="28"/>
          <w:szCs w:val="28"/>
        </w:rPr>
        <w:t xml:space="preserve">  –  длина плеча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4"/>
          <w:sz w:val="28"/>
          <w:szCs w:val="28"/>
        </w:rPr>
        <w:object w:dxaOrig="180" w:dyaOrig="200">
          <v:shape id="_x0000_i1065" type="#_x0000_t75" style="width:8.85pt;height:9.95pt" fillcolor="window">
            <v:imagedata r:id="rId49" o:title=""/>
          </v:shape>
        </w:object>
      </w:r>
      <w:r w:rsidRPr="00D41A81">
        <w:rPr>
          <w:sz w:val="28"/>
          <w:szCs w:val="28"/>
        </w:rPr>
        <w:t xml:space="preserve">  –  расстояние от начала координат до произвольной точки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18"/>
          <w:sz w:val="28"/>
          <w:szCs w:val="28"/>
        </w:rPr>
        <w:object w:dxaOrig="920" w:dyaOrig="480">
          <v:shape id="_x0000_i1066" type="#_x0000_t75" style="width:46.5pt;height:24.35pt" fillcolor="window">
            <v:imagedata r:id="rId50" o:title=""/>
          </v:shape>
        </w:object>
      </w:r>
      <w:r w:rsidRPr="00D41A81">
        <w:rPr>
          <w:sz w:val="28"/>
          <w:szCs w:val="28"/>
        </w:rPr>
        <w:t xml:space="preserve">  –  коэффициент фазы тока текущего по вибратору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Как видно из формулы (1) распределение тока не зависит от толщины вибратора.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В действительности двухпроводная линия и симметричный вибратор являются колебательными системами с распределенными параметрами, но они существенно различаются.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распределенные параметры </w:t>
      </w:r>
      <w:r w:rsidRPr="00D41A81">
        <w:rPr>
          <w:sz w:val="28"/>
          <w:szCs w:val="28"/>
          <w:lang w:val="en-US"/>
        </w:rPr>
        <w:t>L</w:t>
      </w:r>
      <w:r w:rsidRPr="00D41A81">
        <w:rPr>
          <w:sz w:val="28"/>
          <w:szCs w:val="28"/>
        </w:rPr>
        <w:t xml:space="preserve"> и</w:t>
      </w:r>
      <w:proofErr w:type="gramStart"/>
      <w:r w:rsidRPr="00D41A81">
        <w:rPr>
          <w:sz w:val="28"/>
          <w:szCs w:val="28"/>
        </w:rPr>
        <w:t xml:space="preserve"> С</w:t>
      </w:r>
      <w:proofErr w:type="gramEnd"/>
      <w:r w:rsidRPr="00D41A81">
        <w:rPr>
          <w:sz w:val="28"/>
          <w:szCs w:val="28"/>
        </w:rPr>
        <w:t xml:space="preserve"> длинной линии, по ее длине = с</w:t>
      </w:r>
      <w:proofErr w:type="spellStart"/>
      <w:r w:rsidRPr="00D41A81">
        <w:rPr>
          <w:sz w:val="28"/>
          <w:szCs w:val="28"/>
          <w:lang w:val="en-US"/>
        </w:rPr>
        <w:t>onst</w:t>
      </w:r>
      <w:proofErr w:type="spellEnd"/>
      <w:r w:rsidRPr="00D41A81">
        <w:rPr>
          <w:sz w:val="28"/>
          <w:szCs w:val="28"/>
        </w:rPr>
        <w:t xml:space="preserve">, а у симметричного вибратора по длине </w:t>
      </w:r>
      <w:r w:rsidRPr="00D41A81">
        <w:rPr>
          <w:sz w:val="28"/>
          <w:szCs w:val="28"/>
          <w:lang w:val="en-US"/>
        </w:rPr>
        <w:sym w:font="Symbol" w:char="F0B9"/>
      </w:r>
      <w:r w:rsidRPr="00D41A81">
        <w:rPr>
          <w:sz w:val="28"/>
          <w:szCs w:val="28"/>
        </w:rPr>
        <w:t xml:space="preserve"> </w:t>
      </w:r>
      <w:r w:rsidRPr="00D41A81">
        <w:rPr>
          <w:sz w:val="28"/>
          <w:szCs w:val="28"/>
          <w:lang w:val="en-US"/>
        </w:rPr>
        <w:t>const</w:t>
      </w:r>
      <w:r w:rsidRPr="00D41A81">
        <w:rPr>
          <w:sz w:val="28"/>
          <w:szCs w:val="28"/>
        </w:rPr>
        <w:t xml:space="preserve">. 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1800860" cy="1280160"/>
            <wp:effectExtent l="19050" t="0" r="8890" b="0"/>
            <wp:docPr id="50" name="Рисунок 50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17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860" cy="128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                              </w:t>
      </w:r>
      <w:r>
        <w:rPr>
          <w:noProof/>
          <w:sz w:val="28"/>
          <w:szCs w:val="28"/>
        </w:rPr>
        <w:drawing>
          <wp:inline distT="0" distB="0" distL="0" distR="0">
            <wp:extent cx="1828800" cy="956310"/>
            <wp:effectExtent l="19050" t="0" r="0" b="0"/>
            <wp:docPr id="51" name="Рисунок 51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17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956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Рис. 16.  Разомкнутая двухпроводная линия                              Рис. 17.  Симметричный вибратор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двухпроводной линии – ток изменяется по закону стоячей 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волны, формула (1) и в узлах </w:t>
      </w:r>
      <w:proofErr w:type="gramStart"/>
      <w:r w:rsidRPr="00D41A81">
        <w:rPr>
          <w:sz w:val="28"/>
          <w:szCs w:val="28"/>
        </w:rPr>
        <w:t>равен</w:t>
      </w:r>
      <w:proofErr w:type="gramEnd"/>
      <w:r w:rsidRPr="00D41A81">
        <w:rPr>
          <w:sz w:val="28"/>
          <w:szCs w:val="28"/>
        </w:rPr>
        <w:t xml:space="preserve"> нулю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для симметричного вибратора – ток не может быть распределен по закону (1), и в узлах не обращается в нуль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Однако расчет поля симметричного вибратора в дальней зоне в предположении синусоидального распределения тока по вибратору дает хорошее совпадение с экспериментальными данными для тонких вибраторов </w:t>
      </w:r>
      <w:r w:rsidRPr="00D41A81">
        <w:rPr>
          <w:position w:val="-18"/>
          <w:sz w:val="28"/>
          <w:szCs w:val="28"/>
        </w:rPr>
        <w:object w:dxaOrig="920" w:dyaOrig="480">
          <v:shape id="_x0000_i1067" type="#_x0000_t75" style="width:46.5pt;height:24.35pt" fillcolor="window">
            <v:imagedata r:id="rId53" o:title=""/>
          </v:shape>
        </w:object>
      </w:r>
      <w:r w:rsidRPr="00D41A81">
        <w:rPr>
          <w:sz w:val="28"/>
          <w:szCs w:val="28"/>
        </w:rPr>
        <w:t>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Однако если </w:t>
      </w:r>
      <w:proofErr w:type="gramStart"/>
      <w:r w:rsidRPr="00D41A81">
        <w:rPr>
          <w:sz w:val="28"/>
          <w:szCs w:val="28"/>
        </w:rPr>
        <w:t xml:space="preserve">будем рассчитывать  </w:t>
      </w:r>
      <w:r w:rsidRPr="00D41A81">
        <w:rPr>
          <w:position w:val="-30"/>
          <w:sz w:val="28"/>
          <w:szCs w:val="28"/>
        </w:rPr>
        <w:object w:dxaOrig="1040" w:dyaOrig="700">
          <v:shape id="_x0000_i1068" type="#_x0000_t75" style="width:52.05pt;height:35.45pt" fillcolor="window">
            <v:imagedata r:id="rId54" o:title=""/>
          </v:shape>
        </w:object>
      </w:r>
      <w:r w:rsidRPr="00D41A81">
        <w:rPr>
          <w:sz w:val="28"/>
          <w:szCs w:val="28"/>
        </w:rPr>
        <w:t xml:space="preserve">   в ряде случаев приводит</w:t>
      </w:r>
      <w:proofErr w:type="gramEnd"/>
      <w:r w:rsidRPr="00D41A81">
        <w:rPr>
          <w:sz w:val="28"/>
          <w:szCs w:val="28"/>
        </w:rPr>
        <w:t xml:space="preserve"> к неверным результатам.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208530" cy="788035"/>
            <wp:effectExtent l="19050" t="0" r="1270" b="0"/>
            <wp:docPr id="54" name="Рисунок 54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17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8530" cy="78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                     </w:t>
      </w:r>
      <w:r>
        <w:rPr>
          <w:noProof/>
          <w:sz w:val="28"/>
          <w:szCs w:val="28"/>
        </w:rPr>
        <w:drawing>
          <wp:inline distT="0" distB="0" distL="0" distR="0">
            <wp:extent cx="2898140" cy="788035"/>
            <wp:effectExtent l="19050" t="0" r="0" b="0"/>
            <wp:docPr id="55" name="Рисунок 55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17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140" cy="78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      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                                                            Здесь </w:t>
      </w:r>
      <w:r w:rsidRPr="00D41A81">
        <w:rPr>
          <w:position w:val="-10"/>
          <w:sz w:val="28"/>
          <w:szCs w:val="28"/>
        </w:rPr>
        <w:object w:dxaOrig="880" w:dyaOrig="340">
          <v:shape id="_x0000_i1069" type="#_x0000_t75" style="width:44.3pt;height:16.6pt" fillcolor="window">
            <v:imagedata r:id="rId57" o:title=""/>
          </v:shape>
        </w:object>
      </w:r>
      <w:r w:rsidRPr="00D41A81">
        <w:rPr>
          <w:sz w:val="28"/>
          <w:szCs w:val="28"/>
        </w:rPr>
        <w:t>, но это не так.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 известном законе распределения тока по вибратору, легко установить </w:t>
      </w:r>
      <w:r w:rsidRPr="00D41A81">
        <w:rPr>
          <w:b/>
          <w:sz w:val="28"/>
          <w:szCs w:val="28"/>
        </w:rPr>
        <w:t>приближенный закон распределения заряда</w:t>
      </w:r>
      <w:r w:rsidRPr="00D41A81">
        <w:rPr>
          <w:sz w:val="28"/>
          <w:szCs w:val="28"/>
        </w:rPr>
        <w:t xml:space="preserve">, воспользовавшись законом сохранения заряда. Считаем, что вибратор тонкий </w:t>
      </w:r>
      <w:r w:rsidRPr="00D41A81">
        <w:rPr>
          <w:i/>
          <w:sz w:val="28"/>
          <w:szCs w:val="28"/>
          <w:lang w:val="en-US"/>
        </w:rPr>
        <w:t>a</w:t>
      </w:r>
      <w:r w:rsidRPr="00D41A81">
        <w:rPr>
          <w:i/>
          <w:sz w:val="28"/>
          <w:szCs w:val="28"/>
        </w:rPr>
        <w:t xml:space="preserve"> &lt;&lt; </w:t>
      </w:r>
      <w:r w:rsidRPr="00D41A81">
        <w:rPr>
          <w:i/>
          <w:sz w:val="28"/>
          <w:szCs w:val="28"/>
          <w:lang w:val="en-US"/>
        </w:rPr>
        <w:t>l</w:t>
      </w:r>
      <w:r w:rsidRPr="00D41A81">
        <w:rPr>
          <w:i/>
          <w:sz w:val="28"/>
          <w:szCs w:val="28"/>
        </w:rPr>
        <w:t xml:space="preserve"> </w:t>
      </w:r>
      <w:r w:rsidRPr="00D41A81">
        <w:rPr>
          <w:sz w:val="28"/>
          <w:szCs w:val="28"/>
        </w:rPr>
        <w:t xml:space="preserve">, тогда  можно сказать, что существует одна составляющая </w:t>
      </w:r>
      <w:r w:rsidRPr="00D41A81">
        <w:rPr>
          <w:position w:val="-10"/>
          <w:sz w:val="28"/>
          <w:szCs w:val="28"/>
        </w:rPr>
        <w:object w:dxaOrig="279" w:dyaOrig="340">
          <v:shape id="_x0000_i1070" type="#_x0000_t75" style="width:14.4pt;height:16.6pt" fillcolor="window">
            <v:imagedata r:id="rId58" o:title=""/>
          </v:shape>
        </w:object>
      </w:r>
      <w:r w:rsidRPr="00D41A81">
        <w:rPr>
          <w:sz w:val="28"/>
          <w:szCs w:val="28"/>
        </w:rPr>
        <w:t xml:space="preserve">. 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Заряды, существующие на поверхности проводника, описываются уравнением: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2280" w:dyaOrig="620">
          <v:shape id="_x0000_i1071" type="#_x0000_t75" style="width:114.1pt;height:31pt" fillcolor="window">
            <v:imagedata r:id="rId59" o:title=""/>
          </v:shape>
        </w:object>
      </w:r>
      <w:r w:rsidRPr="00D41A81">
        <w:rPr>
          <w:sz w:val="28"/>
          <w:szCs w:val="28"/>
        </w:rPr>
        <w:t xml:space="preserve">                                           (2)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220" w:dyaOrig="340">
          <v:shape id="_x0000_i1072" type="#_x0000_t75" style="width:11.1pt;height:16.6pt" fillcolor="window">
            <v:imagedata r:id="rId60" o:title=""/>
          </v:shape>
        </w:object>
      </w:r>
      <w:r w:rsidRPr="00D41A81">
        <w:rPr>
          <w:sz w:val="28"/>
          <w:szCs w:val="28"/>
        </w:rPr>
        <w:t xml:space="preserve"> –  поверхностный заряд на единицу длины.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Решение  уравнения (2) имеет вид, без учета фазы заряда: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840" w:dyaOrig="380">
          <v:shape id="_x0000_i1073" type="#_x0000_t75" style="width:91.95pt;height:18.85pt" fillcolor="window">
            <v:imagedata r:id="rId61" o:title=""/>
          </v:shape>
        </w:object>
      </w:r>
      <w:r w:rsidRPr="00D41A81">
        <w:rPr>
          <w:sz w:val="28"/>
          <w:szCs w:val="28"/>
        </w:rPr>
        <w:t xml:space="preserve">                                                (3)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Приведем несколько распределений </w:t>
      </w:r>
      <w:r w:rsidRPr="00D41A81">
        <w:rPr>
          <w:position w:val="-10"/>
          <w:sz w:val="28"/>
          <w:szCs w:val="28"/>
        </w:rPr>
        <w:object w:dxaOrig="260" w:dyaOrig="340">
          <v:shape id="_x0000_i1074" type="#_x0000_t75" style="width:13.3pt;height:16.6pt" fillcolor="window">
            <v:imagedata r:id="rId62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10"/>
          <w:sz w:val="28"/>
          <w:szCs w:val="28"/>
        </w:rPr>
        <w:object w:dxaOrig="320" w:dyaOrig="340">
          <v:shape id="_x0000_i1075" type="#_x0000_t75" style="width:15.5pt;height:16.6pt" fillcolor="window">
            <v:imagedata r:id="rId63" o:title=""/>
          </v:shape>
        </w:object>
      </w:r>
      <w:r w:rsidRPr="00D41A81">
        <w:rPr>
          <w:sz w:val="28"/>
          <w:szCs w:val="28"/>
        </w:rPr>
        <w:t xml:space="preserve">по длине вибратора </w:t>
      </w:r>
      <w:proofErr w:type="gramStart"/>
      <w:r w:rsidRPr="00D41A81">
        <w:rPr>
          <w:sz w:val="28"/>
          <w:szCs w:val="28"/>
        </w:rPr>
        <w:t>для</w:t>
      </w:r>
      <w:proofErr w:type="gramEnd"/>
      <w:r w:rsidRPr="00D41A81">
        <w:rPr>
          <w:sz w:val="28"/>
          <w:szCs w:val="28"/>
        </w:rPr>
        <w:t xml:space="preserve"> различных </w:t>
      </w:r>
      <w:r w:rsidRPr="00D41A81">
        <w:rPr>
          <w:position w:val="-18"/>
          <w:sz w:val="28"/>
          <w:szCs w:val="28"/>
        </w:rPr>
        <w:object w:dxaOrig="380" w:dyaOrig="480">
          <v:shape id="_x0000_i1076" type="#_x0000_t75" style="width:18.85pt;height:24.35pt" fillcolor="window">
            <v:imagedata r:id="rId64" o:title=""/>
          </v:shape>
        </w:object>
      </w:r>
      <w:r w:rsidRPr="00D41A81">
        <w:rPr>
          <w:sz w:val="28"/>
          <w:szCs w:val="28"/>
        </w:rPr>
        <w:t xml:space="preserve">  по формулам (1) и (3)</w:t>
      </w:r>
    </w:p>
    <w:p w:rsidR="00E1773D" w:rsidRPr="00D41A81" w:rsidRDefault="00E1773D" w:rsidP="00E1773D">
      <w:pPr>
        <w:rPr>
          <w:sz w:val="28"/>
          <w:szCs w:val="28"/>
        </w:rPr>
      </w:pPr>
    </w:p>
    <w:p w:rsidR="00E1773D" w:rsidRPr="00D41A81" w:rsidRDefault="00E1773D" w:rsidP="00E1773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421130" cy="1125220"/>
            <wp:effectExtent l="19050" t="0" r="7620" b="0"/>
            <wp:docPr id="64" name="Рисунок 64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18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1130" cy="1125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                            </w:t>
      </w:r>
      <w:r>
        <w:rPr>
          <w:noProof/>
          <w:sz w:val="28"/>
          <w:szCs w:val="28"/>
        </w:rPr>
        <w:drawing>
          <wp:inline distT="0" distB="0" distL="0" distR="0">
            <wp:extent cx="2546350" cy="970915"/>
            <wp:effectExtent l="19050" t="0" r="6350" b="0"/>
            <wp:docPr id="65" name="Рисунок 65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18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0" cy="970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                    а)                                                                                                б)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1773D" w:rsidRPr="00D41A81" w:rsidRDefault="00E1773D" w:rsidP="00E1773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081020" cy="1012825"/>
            <wp:effectExtent l="19050" t="0" r="5080" b="0"/>
            <wp:docPr id="66" name="Рисунок 66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18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020" cy="101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>в)</w:t>
      </w:r>
    </w:p>
    <w:p w:rsidR="00E1773D" w:rsidRPr="00D41A81" w:rsidRDefault="00E1773D" w:rsidP="00E1773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18.  Распределение тока на тонком симметричном вибраторе </w:t>
      </w:r>
      <w:proofErr w:type="gramStart"/>
      <w:r w:rsidRPr="00D41A81">
        <w:rPr>
          <w:sz w:val="28"/>
          <w:szCs w:val="28"/>
        </w:rPr>
        <w:t>разной</w:t>
      </w:r>
      <w:proofErr w:type="gramEnd"/>
      <w:r w:rsidRPr="00D41A81">
        <w:rPr>
          <w:sz w:val="28"/>
          <w:szCs w:val="28"/>
        </w:rPr>
        <w:t xml:space="preserve"> длинны</w:t>
      </w:r>
    </w:p>
    <w:p w:rsidR="00E1773D" w:rsidRPr="00D41A81" w:rsidRDefault="00E1773D" w:rsidP="00E1773D">
      <w:pPr>
        <w:rPr>
          <w:b/>
          <w:sz w:val="28"/>
          <w:szCs w:val="28"/>
          <w:u w:val="single"/>
        </w:rPr>
      </w:pPr>
    </w:p>
    <w:p w:rsidR="00C10B42" w:rsidRDefault="00C10B42"/>
    <w:sectPr w:rsidR="00C10B42" w:rsidSect="00C10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E1773D"/>
    <w:rsid w:val="000C6D1F"/>
    <w:rsid w:val="00C10B42"/>
    <w:rsid w:val="00DD4AF9"/>
    <w:rsid w:val="00E177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73D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D4AF9"/>
    <w:pPr>
      <w:keepNext/>
      <w:outlineLvl w:val="0"/>
    </w:pPr>
    <w:rPr>
      <w:sz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4AF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DD4AF9"/>
    <w:pPr>
      <w:spacing w:before="240" w:after="60"/>
      <w:outlineLvl w:val="6"/>
    </w:pPr>
  </w:style>
  <w:style w:type="paragraph" w:styleId="9">
    <w:name w:val="heading 9"/>
    <w:basedOn w:val="a"/>
    <w:next w:val="a"/>
    <w:link w:val="90"/>
    <w:qFormat/>
    <w:rsid w:val="00DD4AF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4AF9"/>
    <w:rPr>
      <w:sz w:val="32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D4AF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70">
    <w:name w:val="Заголовок 7 Знак"/>
    <w:basedOn w:val="a0"/>
    <w:link w:val="7"/>
    <w:rsid w:val="00DD4AF9"/>
    <w:rPr>
      <w:sz w:val="24"/>
      <w:szCs w:val="24"/>
    </w:rPr>
  </w:style>
  <w:style w:type="character" w:customStyle="1" w:styleId="90">
    <w:name w:val="Заголовок 9 Знак"/>
    <w:basedOn w:val="a0"/>
    <w:link w:val="9"/>
    <w:rsid w:val="00DD4AF9"/>
    <w:rPr>
      <w:rFonts w:ascii="Arial" w:hAnsi="Arial" w:cs="Arial"/>
      <w:sz w:val="22"/>
      <w:szCs w:val="22"/>
    </w:rPr>
  </w:style>
  <w:style w:type="paragraph" w:styleId="a3">
    <w:name w:val="Title"/>
    <w:basedOn w:val="a"/>
    <w:link w:val="a4"/>
    <w:qFormat/>
    <w:rsid w:val="00DD4AF9"/>
    <w:pPr>
      <w:jc w:val="center"/>
    </w:pPr>
    <w:rPr>
      <w:rFonts w:ascii="KZ Times New Roman" w:hAnsi="KZ Times New Roman"/>
      <w:sz w:val="28"/>
      <w:lang w:val="ru-MO"/>
    </w:rPr>
  </w:style>
  <w:style w:type="character" w:customStyle="1" w:styleId="a4">
    <w:name w:val="Название Знак"/>
    <w:basedOn w:val="a0"/>
    <w:link w:val="a3"/>
    <w:rsid w:val="00DD4AF9"/>
    <w:rPr>
      <w:rFonts w:ascii="KZ Times New Roman" w:hAnsi="KZ Times New Roman"/>
      <w:sz w:val="28"/>
      <w:szCs w:val="24"/>
      <w:lang w:val="ru-MO"/>
    </w:rPr>
  </w:style>
  <w:style w:type="paragraph" w:styleId="a5">
    <w:name w:val="Balloon Text"/>
    <w:basedOn w:val="a"/>
    <w:link w:val="a6"/>
    <w:uiPriority w:val="99"/>
    <w:semiHidden/>
    <w:unhideWhenUsed/>
    <w:rsid w:val="00E1773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177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wmf"/><Relationship Id="rId26" Type="http://schemas.openxmlformats.org/officeDocument/2006/relationships/image" Target="media/image23.wmf"/><Relationship Id="rId39" Type="http://schemas.openxmlformats.org/officeDocument/2006/relationships/image" Target="media/image36.wmf"/><Relationship Id="rId21" Type="http://schemas.openxmlformats.org/officeDocument/2006/relationships/image" Target="media/image18.wmf"/><Relationship Id="rId34" Type="http://schemas.openxmlformats.org/officeDocument/2006/relationships/image" Target="media/image31.wmf"/><Relationship Id="rId42" Type="http://schemas.openxmlformats.org/officeDocument/2006/relationships/image" Target="media/image39.wmf"/><Relationship Id="rId47" Type="http://schemas.openxmlformats.org/officeDocument/2006/relationships/image" Target="media/image44.wmf"/><Relationship Id="rId50" Type="http://schemas.openxmlformats.org/officeDocument/2006/relationships/image" Target="media/image47.wmf"/><Relationship Id="rId55" Type="http://schemas.openxmlformats.org/officeDocument/2006/relationships/image" Target="media/image52.png"/><Relationship Id="rId63" Type="http://schemas.openxmlformats.org/officeDocument/2006/relationships/image" Target="media/image60.wmf"/><Relationship Id="rId68" Type="http://schemas.openxmlformats.org/officeDocument/2006/relationships/fontTable" Target="fontTable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9" Type="http://schemas.openxmlformats.org/officeDocument/2006/relationships/image" Target="media/image26.wmf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24" Type="http://schemas.openxmlformats.org/officeDocument/2006/relationships/image" Target="media/image21.wmf"/><Relationship Id="rId32" Type="http://schemas.openxmlformats.org/officeDocument/2006/relationships/image" Target="media/image29.wmf"/><Relationship Id="rId37" Type="http://schemas.openxmlformats.org/officeDocument/2006/relationships/image" Target="media/image34.wmf"/><Relationship Id="rId40" Type="http://schemas.openxmlformats.org/officeDocument/2006/relationships/image" Target="media/image37.wmf"/><Relationship Id="rId45" Type="http://schemas.openxmlformats.org/officeDocument/2006/relationships/image" Target="media/image42.png"/><Relationship Id="rId53" Type="http://schemas.openxmlformats.org/officeDocument/2006/relationships/image" Target="media/image50.wmf"/><Relationship Id="rId58" Type="http://schemas.openxmlformats.org/officeDocument/2006/relationships/image" Target="media/image55.wmf"/><Relationship Id="rId66" Type="http://schemas.openxmlformats.org/officeDocument/2006/relationships/image" Target="media/image63.png"/><Relationship Id="rId5" Type="http://schemas.openxmlformats.org/officeDocument/2006/relationships/image" Target="media/image2.png"/><Relationship Id="rId15" Type="http://schemas.openxmlformats.org/officeDocument/2006/relationships/image" Target="media/image12.wmf"/><Relationship Id="rId23" Type="http://schemas.openxmlformats.org/officeDocument/2006/relationships/image" Target="media/image20.wmf"/><Relationship Id="rId28" Type="http://schemas.openxmlformats.org/officeDocument/2006/relationships/image" Target="media/image25.wmf"/><Relationship Id="rId36" Type="http://schemas.openxmlformats.org/officeDocument/2006/relationships/image" Target="media/image33.wmf"/><Relationship Id="rId49" Type="http://schemas.openxmlformats.org/officeDocument/2006/relationships/image" Target="media/image46.wmf"/><Relationship Id="rId57" Type="http://schemas.openxmlformats.org/officeDocument/2006/relationships/image" Target="media/image54.wmf"/><Relationship Id="rId61" Type="http://schemas.openxmlformats.org/officeDocument/2006/relationships/image" Target="media/image58.wmf"/><Relationship Id="rId10" Type="http://schemas.openxmlformats.org/officeDocument/2006/relationships/image" Target="media/image7.wmf"/><Relationship Id="rId19" Type="http://schemas.openxmlformats.org/officeDocument/2006/relationships/image" Target="media/image16.wmf"/><Relationship Id="rId31" Type="http://schemas.openxmlformats.org/officeDocument/2006/relationships/image" Target="media/image28.wmf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wmf"/><Relationship Id="rId65" Type="http://schemas.openxmlformats.org/officeDocument/2006/relationships/image" Target="media/image62.png"/><Relationship Id="rId4" Type="http://schemas.openxmlformats.org/officeDocument/2006/relationships/image" Target="media/image1.png"/><Relationship Id="rId9" Type="http://schemas.openxmlformats.org/officeDocument/2006/relationships/image" Target="media/image6.wmf"/><Relationship Id="rId14" Type="http://schemas.openxmlformats.org/officeDocument/2006/relationships/image" Target="media/image11.wmf"/><Relationship Id="rId22" Type="http://schemas.openxmlformats.org/officeDocument/2006/relationships/image" Target="media/image19.wmf"/><Relationship Id="rId27" Type="http://schemas.openxmlformats.org/officeDocument/2006/relationships/image" Target="media/image24.wmf"/><Relationship Id="rId30" Type="http://schemas.openxmlformats.org/officeDocument/2006/relationships/image" Target="media/image27.png"/><Relationship Id="rId35" Type="http://schemas.openxmlformats.org/officeDocument/2006/relationships/image" Target="media/image32.wmf"/><Relationship Id="rId43" Type="http://schemas.openxmlformats.org/officeDocument/2006/relationships/image" Target="media/image40.wmf"/><Relationship Id="rId48" Type="http://schemas.openxmlformats.org/officeDocument/2006/relationships/image" Target="media/image45.wmf"/><Relationship Id="rId56" Type="http://schemas.openxmlformats.org/officeDocument/2006/relationships/image" Target="media/image53.png"/><Relationship Id="rId64" Type="http://schemas.openxmlformats.org/officeDocument/2006/relationships/image" Target="media/image61.wmf"/><Relationship Id="rId69" Type="http://schemas.openxmlformats.org/officeDocument/2006/relationships/theme" Target="theme/theme1.xml"/><Relationship Id="rId8" Type="http://schemas.openxmlformats.org/officeDocument/2006/relationships/image" Target="media/image5.wmf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5" Type="http://schemas.openxmlformats.org/officeDocument/2006/relationships/image" Target="media/image22.wmf"/><Relationship Id="rId33" Type="http://schemas.openxmlformats.org/officeDocument/2006/relationships/image" Target="media/image30.wmf"/><Relationship Id="rId38" Type="http://schemas.openxmlformats.org/officeDocument/2006/relationships/image" Target="media/image35.wmf"/><Relationship Id="rId46" Type="http://schemas.openxmlformats.org/officeDocument/2006/relationships/image" Target="media/image43.wmf"/><Relationship Id="rId59" Type="http://schemas.openxmlformats.org/officeDocument/2006/relationships/image" Target="media/image56.wmf"/><Relationship Id="rId67" Type="http://schemas.openxmlformats.org/officeDocument/2006/relationships/image" Target="media/image64.png"/><Relationship Id="rId20" Type="http://schemas.openxmlformats.org/officeDocument/2006/relationships/image" Target="media/image17.wmf"/><Relationship Id="rId41" Type="http://schemas.openxmlformats.org/officeDocument/2006/relationships/image" Target="media/image38.wmf"/><Relationship Id="rId54" Type="http://schemas.openxmlformats.org/officeDocument/2006/relationships/image" Target="media/image51.wmf"/><Relationship Id="rId62" Type="http://schemas.openxmlformats.org/officeDocument/2006/relationships/image" Target="media/image5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1284</Words>
  <Characters>7325</Characters>
  <Application>Microsoft Office Word</Application>
  <DocSecurity>0</DocSecurity>
  <Lines>61</Lines>
  <Paragraphs>17</Paragraphs>
  <ScaleCrop>false</ScaleCrop>
  <Company>ektu</Company>
  <LinksUpToDate>false</LinksUpToDate>
  <CharactersWithSpaces>8592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Аслима Алимханова</dc:creator>
  <cp:keywords/>
  <dc:description/>
  <cp:lastModifiedBy>Аслима Алимханова</cp:lastModifiedBy>
  <cp:revision>1</cp:revision>
  <dcterms:created xsi:type="dcterms:W3CDTF">2014-01-30T09:00:00Z</dcterms:created>
  <dcterms:modified xsi:type="dcterms:W3CDTF">2014-01-30T09:00:00Z</dcterms:modified>
</cp:coreProperties>
</file>